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40EC" w14:textId="77777777" w:rsidR="00E14FF4" w:rsidRPr="00E14FF4" w:rsidRDefault="00E14FF4" w:rsidP="00E14F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Tòa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án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binh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Việt Nam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Cộng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hòa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đã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xét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xử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một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nhà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thơ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‘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xâm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phạm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ninh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quốc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gia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’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như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thế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nào</w:t>
      </w:r>
      <w:proofErr w:type="spellEnd"/>
    </w:p>
    <w:p w14:paraId="2DB5E33E" w14:textId="4E757379" w:rsidR="00F50CA9" w:rsidRDefault="00F50CA9"/>
    <w:p w14:paraId="57A5942B" w14:textId="77777777" w:rsidR="00565DD7" w:rsidRDefault="00565DD7"/>
    <w:p w14:paraId="2AA9FF9D" w14:textId="2F3B7CC2" w:rsidR="0018338F" w:rsidRDefault="00E14FF4" w:rsidP="00E14FF4">
      <w:pPr>
        <w:jc w:val="center"/>
      </w:pPr>
      <w:r>
        <w:rPr>
          <w:noProof/>
        </w:rPr>
        <w:drawing>
          <wp:inline distT="0" distB="0" distL="0" distR="0" wp14:anchorId="4EC70021" wp14:editId="51892FE4">
            <wp:extent cx="4133850" cy="2314956"/>
            <wp:effectExtent l="0" t="0" r="0" b="9525"/>
            <wp:docPr id="2" name="Picture 1" descr="Tòa án binh Việt Nam Cộng hòa đã xét xử một nhà thơ ‘xâm phạm an ninh quốc gia’ như thế nà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òa án binh Việt Nam Cộng hòa đã xét xử một nhà thơ ‘xâm phạm an ninh quốc gia’ như thế nà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362" cy="233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B90B8" w14:textId="77777777" w:rsidR="00E14FF4" w:rsidRDefault="00E14FF4" w:rsidP="00E14FF4">
      <w:pPr>
        <w:jc w:val="center"/>
      </w:pPr>
    </w:p>
    <w:p w14:paraId="30F3DE7D" w14:textId="77777777" w:rsidR="00E14FF4" w:rsidRPr="00E14FF4" w:rsidRDefault="00E14FF4" w:rsidP="00E14F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April 02 2025 3:15 PM 10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đọc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8" w:anchor="comments" w:history="1">
        <w:r w:rsidRPr="00E14F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0 </w:t>
        </w:r>
      </w:hyperlink>
    </w:p>
    <w:p w14:paraId="16AB30C3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117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trữ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Nam”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331, “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 </w:t>
      </w:r>
    </w:p>
    <w:p w14:paraId="407A6A07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nay.</w:t>
      </w:r>
    </w:p>
    <w:p w14:paraId="3342696F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thơ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.”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miền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D38777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chuyện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Tìm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hiểu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về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biện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chế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tài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Sắc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007/72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với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báo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-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1973-1974 -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Tần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Văn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Vạn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Sài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Gòn.</w:t>
      </w:r>
    </w:p>
    <w:p w14:paraId="537C9781" w14:textId="25116E36" w:rsidR="00E14FF4" w:rsidRDefault="00E14FF4" w:rsidP="00E14FF4">
      <w:r>
        <w:rPr>
          <w:noProof/>
        </w:rPr>
        <w:lastRenderedPageBreak/>
        <w:drawing>
          <wp:inline distT="0" distB="0" distL="0" distR="0" wp14:anchorId="28BDE403" wp14:editId="46A0328A">
            <wp:extent cx="5943600" cy="79248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2EF" w14:textId="77777777" w:rsidR="00E14FF4" w:rsidRDefault="00E14FF4" w:rsidP="00E14FF4"/>
    <w:p w14:paraId="41A403A4" w14:textId="77777777" w:rsidR="00E14FF4" w:rsidRDefault="00E14FF4" w:rsidP="00E14FF4">
      <w:pPr>
        <w:pStyle w:val="NormalWeb"/>
      </w:pPr>
      <w:proofErr w:type="spellStart"/>
      <w:r>
        <w:lastRenderedPageBreak/>
        <w:t>Khảo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Ở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Việt Nam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“</w:t>
      </w:r>
      <w:proofErr w:type="spellStart"/>
      <w:r>
        <w:t>xâm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>”.</w:t>
      </w:r>
    </w:p>
    <w:p w14:paraId="4C2C86AA" w14:textId="77777777" w:rsidR="00E14FF4" w:rsidRDefault="00E14FF4" w:rsidP="00E14FF4">
      <w:pPr>
        <w:pStyle w:val="NormalWeb"/>
      </w:pP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non </w:t>
      </w:r>
      <w:proofErr w:type="spellStart"/>
      <w:r>
        <w:t>nước</w:t>
      </w:r>
      <w:proofErr w:type="spellEnd"/>
      <w:r>
        <w:t xml:space="preserve"> qua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“</w:t>
      </w:r>
      <w:proofErr w:type="spellStart"/>
      <w:r>
        <w:t>xâm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”.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bổng</w:t>
      </w:r>
      <w:proofErr w:type="spellEnd"/>
      <w:r>
        <w:t>.</w:t>
      </w:r>
    </w:p>
    <w:p w14:paraId="3527FFE1" w14:textId="77777777" w:rsidR="00E14FF4" w:rsidRPr="00E14FF4" w:rsidRDefault="00E14FF4" w:rsidP="00E14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“Con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đường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vui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” </w:t>
      </w:r>
    </w:p>
    <w:p w14:paraId="5A9035C6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Trong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64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Hai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1972,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Nguyệt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proofErr w:type="gram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thơ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Tâm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“Con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vui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Tâm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bút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6BE15E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thơ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dấu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Tâm)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AB1B753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Khi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tôi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bình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Tôi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hết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nẽo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đường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Cùng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với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chị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tôi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những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người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tuổi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trẻ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quê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hương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xây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dựng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người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dựng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Nam. 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Người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hận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thù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tàn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chiến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tranh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đốt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cháy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đắp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Hết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thảy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những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con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đường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cắt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bởi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bom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ở Trung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Cộng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Những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nhịp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cầu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giật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vì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mìn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mìn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VN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xây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mạc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đốt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vì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NAPALM Hoa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Kỳ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những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căn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sập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vì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hoả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tiễn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Nga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Sô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Cùng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với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chị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tuổi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trẻ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Còn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sót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sau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25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khói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lửa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 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lấp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hết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hố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bom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B.52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cày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xới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đồng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ruộng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trám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hết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lổ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đạn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liên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mìn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Claymore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cày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nát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mẹ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Để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mạ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non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xanh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trở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  <w:t xml:space="preserve">Cho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lúa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mới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thêm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lên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hoa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nở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trên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đường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quê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hương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thâu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hết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mãnh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bom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đạn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rãi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rác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khắp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thành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đô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đồng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bằng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Để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rèn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đúc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những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nồi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cơm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bát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đĩa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con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cháu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dùng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Cùng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nhau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hoà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bình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trên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cõi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này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trên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toàn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thế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giới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dựng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yêu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thương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giữa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chị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ta.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Dầu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họ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bất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cứ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ai.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Mỹ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hay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Tầu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 Nga hay Pháp.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  <w:t xml:space="preserve">Việt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cộng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hay Việt Nam.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Để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chiến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tranh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chấm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dứt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luôn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  <w:t xml:space="preserve">Cho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hận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thù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chết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yêu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thương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Trong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lòng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trong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lòng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trong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lòng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mọi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người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  <w:t xml:space="preserve">Ở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đây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khắp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nơi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Bây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giờ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mãi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mãi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Cùng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anh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cùng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ta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Làm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đẹp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tuổi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trẻ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br/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Thắp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sáng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quê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hương</w:t>
      </w:r>
      <w:proofErr w:type="spellEnd"/>
      <w:r w:rsidRPr="00E14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58576EA4" w14:textId="77777777" w:rsidR="00E14FF4" w:rsidRDefault="00E14FF4" w:rsidP="00E14FF4">
      <w:pPr>
        <w:pStyle w:val="NormalWeb"/>
      </w:pPr>
      <w:proofErr w:type="spellStart"/>
      <w:r>
        <w:t>áu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,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Quân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Việt Nam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“</w:t>
      </w:r>
      <w:proofErr w:type="spellStart"/>
      <w:r>
        <w:t>xâm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>”.</w:t>
      </w:r>
    </w:p>
    <w:p w14:paraId="2D3C631E" w14:textId="77777777" w:rsidR="00E14FF4" w:rsidRDefault="00E14FF4" w:rsidP="00E14FF4">
      <w:pPr>
        <w:pStyle w:val="NormalWeb"/>
      </w:pPr>
      <w:proofErr w:type="spellStart"/>
      <w:r>
        <w:t>Phiên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007/72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.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1972,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“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ý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gramStart"/>
      <w:r>
        <w:t xml:space="preserve">[...]  </w:t>
      </w:r>
      <w:proofErr w:type="spellStart"/>
      <w:r>
        <w:t>làm</w:t>
      </w:r>
      <w:proofErr w:type="spellEnd"/>
      <w:proofErr w:type="gram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hay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[...]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>.”</w:t>
      </w:r>
    </w:p>
    <w:p w14:paraId="00B35210" w14:textId="77777777" w:rsidR="00E14FF4" w:rsidRDefault="00E14FF4" w:rsidP="00E14FF4">
      <w:pPr>
        <w:pStyle w:val="NormalWeb"/>
      </w:pPr>
      <w:proofErr w:type="spellStart"/>
      <w:r>
        <w:t>Giới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Nam Việt Nam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gay </w:t>
      </w:r>
      <w:proofErr w:type="spellStart"/>
      <w:r>
        <w:t>gắt</w:t>
      </w:r>
      <w:proofErr w:type="spellEnd"/>
      <w:r>
        <w:t xml:space="preserve"> 007/72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do,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.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in.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vi </w:t>
      </w:r>
      <w:proofErr w:type="spellStart"/>
      <w:r>
        <w:t>phạm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>.</w:t>
      </w:r>
    </w:p>
    <w:p w14:paraId="1F4A2C60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1972,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tức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Hoa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ném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xuống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Đông Dương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rằng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hoang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952587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Cuối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CDB743" w14:textId="77777777" w:rsidR="00E14FF4" w:rsidRPr="00E14FF4" w:rsidRDefault="00E14FF4" w:rsidP="00E14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Quyết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định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tha</w:t>
      </w:r>
      <w:proofErr w:type="spellEnd"/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bổng</w:t>
      </w:r>
      <w:proofErr w:type="spellEnd"/>
    </w:p>
    <w:p w14:paraId="25FC4BB3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giống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117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331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Việt Nam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007/72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ràng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nền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 </w:t>
      </w:r>
    </w:p>
    <w:p w14:paraId="5AF0DB02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kịch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trích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mơ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Tâm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ngỡ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EC0835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rất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chờ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diễn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hoãn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4/3/1974.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Tâm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103C407" w14:textId="77777777" w:rsidR="00E14FF4" w:rsidRPr="00E14FF4" w:rsidRDefault="00E14FF4" w:rsidP="00E14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Tâm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tỏ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lòng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thơ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“Con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vui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Quân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Tâm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lòng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vọng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vô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miền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Nam Việt Nam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hiếu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84142A" w14:textId="77777777" w:rsidR="00E14FF4" w:rsidRPr="00E14FF4" w:rsidRDefault="00E14FF4" w:rsidP="00E14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Trong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thơ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xứ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phe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6E065E01" w14:textId="77777777" w:rsidR="00E14FF4" w:rsidRPr="00E14FF4" w:rsidRDefault="00E14FF4" w:rsidP="00E14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thơ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1/1973,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9/1973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3/1974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thơ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thơ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5148E6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rằng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007/72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vừa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Tâm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nền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A664ED6" w14:textId="77777777" w:rsidR="00E14FF4" w:rsidRPr="00E14FF4" w:rsidRDefault="00E14FF4" w:rsidP="00E1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Tâm.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007/72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vòng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Nguyên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14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62131058" w14:textId="77777777" w:rsidR="00E14FF4" w:rsidRDefault="00E14FF4" w:rsidP="00E14FF4">
      <w:pPr>
        <w:pStyle w:val="NormalWeb"/>
      </w:pPr>
      <w:r>
        <w:rPr>
          <w:rStyle w:val="Emphasis"/>
        </w:rPr>
        <w:t>“</w:t>
      </w:r>
      <w:proofErr w:type="spellStart"/>
      <w:r>
        <w:rPr>
          <w:rStyle w:val="Emphasis"/>
        </w:rPr>
        <w:t>Điều</w:t>
      </w:r>
      <w:proofErr w:type="spellEnd"/>
      <w:r>
        <w:rPr>
          <w:rStyle w:val="Emphasis"/>
        </w:rPr>
        <w:t xml:space="preserve"> 64: Công </w:t>
      </w:r>
      <w:proofErr w:type="spellStart"/>
      <w:r>
        <w:rPr>
          <w:rStyle w:val="Emphasis"/>
        </w:rPr>
        <w:t>tố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quyền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và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dân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tố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quyền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liên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quan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đến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khinh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quy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định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trong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luật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này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sẽ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bị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tiêu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diệt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sau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tháng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tròn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từ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ngày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phạm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pháp</w:t>
      </w:r>
      <w:proofErr w:type="spellEnd"/>
      <w:r>
        <w:rPr>
          <w:rStyle w:val="Emphasis"/>
        </w:rPr>
        <w:t xml:space="preserve">, hay </w:t>
      </w:r>
      <w:proofErr w:type="spellStart"/>
      <w:r>
        <w:rPr>
          <w:rStyle w:val="Emphasis"/>
        </w:rPr>
        <w:t>kể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từ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ngày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thi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thành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thủ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tục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truy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tố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cuối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cùng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nếu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có</w:t>
      </w:r>
      <w:proofErr w:type="spellEnd"/>
      <w:r>
        <w:t>”</w:t>
      </w:r>
      <w:r>
        <w:rPr>
          <w:rStyle w:val="Emphasis"/>
        </w:rPr>
        <w:t>.</w:t>
      </w:r>
    </w:p>
    <w:p w14:paraId="1066F2D6" w14:textId="77777777" w:rsidR="00E14FF4" w:rsidRDefault="00E14FF4" w:rsidP="00E14FF4">
      <w:pPr>
        <w:pStyle w:val="NormalWeb"/>
      </w:pP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bổng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Mai Tâm.</w:t>
      </w:r>
    </w:p>
    <w:p w14:paraId="587EC0AD" w14:textId="77777777" w:rsidR="00E14FF4" w:rsidRDefault="00E14FF4" w:rsidP="00E14FF4">
      <w:pPr>
        <w:pStyle w:val="NormalWeb"/>
      </w:pPr>
      <w:proofErr w:type="spellStart"/>
      <w:r>
        <w:t>Với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bổng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Quân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Việt Nam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>.</w:t>
      </w:r>
    </w:p>
    <w:p w14:paraId="11B28AE3" w14:textId="77777777" w:rsidR="00E14FF4" w:rsidRDefault="00E14FF4" w:rsidP="00E14FF4">
      <w:pPr>
        <w:pStyle w:val="NormalWeb"/>
      </w:pPr>
      <w:r>
        <w:t xml:space="preserve">Trang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>:</w:t>
      </w:r>
    </w:p>
    <w:p w14:paraId="7A2D89BD" w14:textId="492B6772" w:rsidR="00E14FF4" w:rsidRDefault="00E14FF4" w:rsidP="00E14FF4">
      <w:r>
        <w:rPr>
          <w:noProof/>
        </w:rPr>
        <w:lastRenderedPageBreak/>
        <w:drawing>
          <wp:inline distT="0" distB="0" distL="0" distR="0" wp14:anchorId="212C505D" wp14:editId="5BC415E0">
            <wp:extent cx="5943600" cy="792480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EF9BB" w14:textId="77777777" w:rsidR="00E14FF4" w:rsidRDefault="00E14FF4" w:rsidP="00E14FF4"/>
    <w:p w14:paraId="7CC65EF0" w14:textId="418C325B" w:rsidR="00E14FF4" w:rsidRDefault="00E14FF4" w:rsidP="00E14FF4">
      <w:r>
        <w:rPr>
          <w:noProof/>
        </w:rPr>
        <w:lastRenderedPageBreak/>
        <w:drawing>
          <wp:inline distT="0" distB="0" distL="0" distR="0" wp14:anchorId="3A7494C4" wp14:editId="70E70E9B">
            <wp:extent cx="5943600" cy="792480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36C77" w14:textId="77777777" w:rsidR="00E14FF4" w:rsidRDefault="00E14FF4" w:rsidP="00E14FF4"/>
    <w:p w14:paraId="4253CF71" w14:textId="0F7E0D6A" w:rsidR="00E14FF4" w:rsidRDefault="00E14FF4" w:rsidP="00E14FF4">
      <w:proofErr w:type="spellStart"/>
      <w:r>
        <w:lastRenderedPageBreak/>
        <w:t>Một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. </w:t>
      </w:r>
      <w:r>
        <w:br/>
      </w:r>
      <w:r>
        <w:br/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Luật</w:t>
      </w:r>
      <w:proofErr w:type="spellEnd"/>
      <w:r>
        <w:t xml:space="preserve"> Khoa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1975 (</w:t>
      </w:r>
      <w:hyperlink r:id="rId12" w:tgtFrame="_blank" w:history="1">
        <w:r>
          <w:rPr>
            <w:rStyle w:val="Hyperlink"/>
          </w:rPr>
          <w:t>1975.luatkhoa.com</w:t>
        </w:r>
      </w:hyperlink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Việt Nam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. </w:t>
      </w:r>
      <w:r>
        <w:br/>
      </w:r>
      <w:r>
        <w:br/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ủng</w:t>
      </w:r>
      <w:proofErr w:type="spellEnd"/>
      <w:r>
        <w:t xml:space="preserve"> </w:t>
      </w:r>
      <w:proofErr w:type="spellStart"/>
      <w:r>
        <w:t>hộ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Quỹ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Nghiên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cứu</w:t>
      </w:r>
      <w:proofErr w:type="spellEnd"/>
      <w:r>
        <w:rPr>
          <w:rStyle w:val="Strong"/>
        </w:rPr>
        <w:t xml:space="preserve"> Việt Nam </w:t>
      </w:r>
      <w:proofErr w:type="spellStart"/>
      <w:r>
        <w:rPr>
          <w:rStyle w:val="Strong"/>
        </w:rPr>
        <w:t>Cộng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hòa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>.</w:t>
      </w:r>
    </w:p>
    <w:sectPr w:rsidR="00E14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7F25" w14:textId="77777777" w:rsidR="008F3EAB" w:rsidRDefault="008F3EAB" w:rsidP="00BA75E7">
      <w:pPr>
        <w:spacing w:after="0" w:line="240" w:lineRule="auto"/>
      </w:pPr>
      <w:r>
        <w:separator/>
      </w:r>
    </w:p>
  </w:endnote>
  <w:endnote w:type="continuationSeparator" w:id="0">
    <w:p w14:paraId="0185FDA0" w14:textId="77777777" w:rsidR="008F3EAB" w:rsidRDefault="008F3EAB" w:rsidP="00BA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DD15" w14:textId="77777777" w:rsidR="008F3EAB" w:rsidRDefault="008F3EAB" w:rsidP="00BA75E7">
      <w:pPr>
        <w:spacing w:after="0" w:line="240" w:lineRule="auto"/>
      </w:pPr>
      <w:r>
        <w:separator/>
      </w:r>
    </w:p>
  </w:footnote>
  <w:footnote w:type="continuationSeparator" w:id="0">
    <w:p w14:paraId="01EEA695" w14:textId="77777777" w:rsidR="008F3EAB" w:rsidRDefault="008F3EAB" w:rsidP="00BA7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51E"/>
    <w:multiLevelType w:val="multilevel"/>
    <w:tmpl w:val="2DE0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60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81"/>
    <w:rsid w:val="0002072B"/>
    <w:rsid w:val="000305DA"/>
    <w:rsid w:val="0018338F"/>
    <w:rsid w:val="002A6AEB"/>
    <w:rsid w:val="002D280E"/>
    <w:rsid w:val="003F0312"/>
    <w:rsid w:val="003F5731"/>
    <w:rsid w:val="00503F10"/>
    <w:rsid w:val="0055397E"/>
    <w:rsid w:val="00565DD7"/>
    <w:rsid w:val="005C7E81"/>
    <w:rsid w:val="00604F2D"/>
    <w:rsid w:val="006D6B5A"/>
    <w:rsid w:val="00714144"/>
    <w:rsid w:val="00736F8B"/>
    <w:rsid w:val="007E2AFE"/>
    <w:rsid w:val="00817BF7"/>
    <w:rsid w:val="008769D2"/>
    <w:rsid w:val="008F3EAB"/>
    <w:rsid w:val="0095019A"/>
    <w:rsid w:val="0096745F"/>
    <w:rsid w:val="00977A0D"/>
    <w:rsid w:val="009C61E4"/>
    <w:rsid w:val="00A76E22"/>
    <w:rsid w:val="00B22ADC"/>
    <w:rsid w:val="00B915A9"/>
    <w:rsid w:val="00BA75E7"/>
    <w:rsid w:val="00C324D6"/>
    <w:rsid w:val="00C61A5C"/>
    <w:rsid w:val="00C81CB7"/>
    <w:rsid w:val="00CD4118"/>
    <w:rsid w:val="00D64949"/>
    <w:rsid w:val="00DE4821"/>
    <w:rsid w:val="00DF7B9B"/>
    <w:rsid w:val="00E14FF4"/>
    <w:rsid w:val="00F50CA9"/>
    <w:rsid w:val="00F5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6FE6"/>
  <w15:chartTrackingRefBased/>
  <w15:docId w15:val="{16215C7F-580D-4436-840C-7BD8F816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E7"/>
  </w:style>
  <w:style w:type="paragraph" w:styleId="Footer">
    <w:name w:val="footer"/>
    <w:basedOn w:val="Normal"/>
    <w:link w:val="FooterChar"/>
    <w:uiPriority w:val="99"/>
    <w:unhideWhenUsed/>
    <w:rsid w:val="00BA7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E7"/>
  </w:style>
  <w:style w:type="paragraph" w:styleId="NormalWeb">
    <w:name w:val="Normal (Web)"/>
    <w:basedOn w:val="Normal"/>
    <w:uiPriority w:val="99"/>
    <w:semiHidden/>
    <w:unhideWhenUsed/>
    <w:rsid w:val="00E1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E14FF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4F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atkhoa.com/2025/04/toa-an-binh-viet-nam-cong-hoa-da-xet-xu-mot-nha-tho-xam-pham-an-ninh-quoc-gia-nhu-the-na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1975.luatkhoa.com/?ref=luatkho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Ngoc-Thuy Dao</dc:creator>
  <cp:keywords/>
  <dc:description/>
  <cp:lastModifiedBy>Ngoc-Thuy Dao</cp:lastModifiedBy>
  <cp:revision>2</cp:revision>
  <dcterms:created xsi:type="dcterms:W3CDTF">2025-04-05T01:26:00Z</dcterms:created>
  <dcterms:modified xsi:type="dcterms:W3CDTF">2025-04-05T01:26:00Z</dcterms:modified>
</cp:coreProperties>
</file>